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КАЛАЧЕВСКОГО МУНИЦИПАЛЬНОГО РАЙОНА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11735" w:type="dxa"/>
        <w:jc w:val="left"/>
        <w:tblInd w:w="-142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735"/>
      </w:tblGrid>
      <w:tr>
        <w:trPr>
          <w:trHeight w:val="100" w:hRule="atLeast"/>
        </w:trPr>
        <w:tc>
          <w:tcPr>
            <w:tcW w:w="11735" w:type="dxa"/>
            <w:tcBorders>
              <w:top w:val="thinThickSmallGap" w:sz="2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от «___» августа 2020 года                                                        №  ___</w:t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__DdeLink__899_1075878643"/>
      <w:r>
        <w:rPr>
          <w:rFonts w:cs="Times New Roman" w:ascii="Times New Roman" w:hAnsi="Times New Roman"/>
          <w:b/>
          <w:bCs/>
          <w:sz w:val="28"/>
          <w:szCs w:val="28"/>
        </w:rPr>
        <w:t>ОБ  УТВЕРЖДЕНИИ  ПОРЯДКА ОПРЕДЕЛЕНИЯ ЦЕНЫ ПРОДАЖИ ЗЕМЕЛЬНЫХ УЧАСТКОВ</w:t>
      </w:r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КАЛАЧЕВСКОГО МУНИЦИПАЛЬНОГО РАЙОНА ВОЛГОГРАДСКОЙ ОБЛАСТИ</w:t>
      </w:r>
    </w:p>
    <w:p>
      <w:pPr>
        <w:pStyle w:val="BodyText3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2 статьи 39.4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r:id="rId3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п. 5 статьи 39.28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Федерации, Федеральным </w:t>
      </w:r>
      <w:hyperlink r:id="rId4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Федерации", руководствуясь Уставом Советского сельского поселения Калачевского муниципального района Волгоградской области, постановляю: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1. Утвердить прилагаемый </w:t>
      </w:r>
      <w:hyperlink w:anchor="Par3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Порядок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Калачевского муниципального района Волгоградской области.</w:t>
      </w:r>
    </w:p>
    <w:p>
      <w:pPr>
        <w:pStyle w:val="Normal"/>
        <w:widowControl w:val="false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2. Настоящее постановление подлежит обнародованию и размещению на официальном сайте Советского сельского поселения Калачевского муниципального района Волгоградской области:</w:t>
      </w:r>
      <w:r>
        <w:rPr>
          <w:sz w:val="28"/>
          <w:szCs w:val="28"/>
        </w:rPr>
        <w:t xml:space="preserve"> </w:t>
      </w:r>
      <w:hyperlink r:id="rId5">
        <w:r>
          <w:rPr>
            <w:rStyle w:val="Style12"/>
            <w:sz w:val="28"/>
            <w:szCs w:val="28"/>
          </w:rPr>
          <w:t>www.советское-сп.рф</w:t>
        </w:r>
      </w:hyperlink>
      <w:r>
        <w:rPr>
          <w:sz w:val="28"/>
          <w:szCs w:val="28"/>
        </w:rPr>
        <w:t>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14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7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 сельского поселения                                         А.Ф. Пак</w:t>
      </w:r>
    </w:p>
    <w:p>
      <w:pPr>
        <w:pStyle w:val="Normal"/>
        <w:tabs>
          <w:tab w:val="clear" w:pos="708"/>
          <w:tab w:val="left" w:pos="198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98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Советского сельского поселения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Калачевского муниципального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8"/>
          <w:szCs w:val="28"/>
        </w:rPr>
        <w:t>от «</w:t>
      </w:r>
      <w:r>
        <w:rPr>
          <w:rFonts w:cs="Times New Roman" w:ascii="Times New Roman" w:hAnsi="Times New Roman"/>
          <w:sz w:val="28"/>
          <w:szCs w:val="28"/>
        </w:rPr>
        <w:t>___</w:t>
      </w:r>
      <w:r>
        <w:rPr>
          <w:rFonts w:cs="Times New Roman" w:ascii="Times New Roman" w:hAnsi="Times New Roman"/>
          <w:sz w:val="28"/>
          <w:szCs w:val="28"/>
        </w:rPr>
        <w:t>» _______ 2020г.  № ____</w:t>
      </w:r>
    </w:p>
    <w:p>
      <w:pPr>
        <w:pStyle w:val="Normal"/>
        <w:widowControl w:val="false"/>
        <w:tabs>
          <w:tab w:val="clear" w:pos="708"/>
          <w:tab w:val="left" w:pos="5370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537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Par38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ПОРЯДОК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 ПРИ ЗАКЛЮЧЕНИИ ДОГОВОРОВ КУПЛИ-ПРОДАЖИ ЗЕМЕЛЬНЫХ УЧАСТКОВ, А ТАКЖЕ ОПРЕДЕЛЕНИЯ РАЗМЕРА ПЛАТЫ ЗА УВЕЛИЧЕНИЕ ПЛОЩАДИ ЗЕМЕЛЬНЫХ УЧАСТКОВ, НАХОДЯЩИХСЯ В ЧАСТНОЙ 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КАЛАЧЕВСКОГО  МУНИЦИПАЛЬНОГО РАЙОНА ВОЛГОГРАДСКОЙ ОБЛАСТИ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Порядок определения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при заключении договора купли-продажи земельного участка без проведения торгов, а также определения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 (далее - Порядок), разработан в соответствии с </w:t>
      </w:r>
      <w:hyperlink r:id="rId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2 статьи 39.4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пунктом 5 статьи 39.28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Настоящий Порядок устанавливает порядок определения: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цены продажи земельных участков, находящихся в муниципальной собственности Советского сельского поселения Калачевского муниципального района Волгоградской области, при заключении договора купли-продажи земельного участка без проведения торгов;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размера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Общие положения установления цены продажи земельных участков определяются Земельным </w:t>
      </w:r>
      <w:hyperlink r:id="rId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Определение цены продажи земельного участка при применении правил и порядка установления цены продажи, которые предусмотрены Федеральным </w:t>
      </w:r>
      <w:hyperlink r:id="rId9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25.10.2001 N 137-ФЗ "О введении в действие Земельного кодекса Российской Федерации", а также в соответствии с настоящим Порядком осуществляется на основании кадастровой стоимости земельного участка, содержащейся в сведениях государственного кадастра недвижимости, или ставки земельного налога за единицу площади земельного участка, рассчитываемой в соответствии с законодательством о налогах и сборах от кадастровой стоимости земельного участка.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>
        <w:rPr>
          <w:rFonts w:cs="Times New Roman" w:ascii="Times New Roman" w:hAnsi="Times New Roman"/>
          <w:sz w:val="28"/>
          <w:szCs w:val="28"/>
        </w:rPr>
        <w:t>4. Для юридических лиц, переоформляющих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года, цена продажи устанавливается, если иной порядок установления цены продажи не предусмотрен Федеральным законом, в размере:</w:t>
      </w:r>
      <w:bookmarkStart w:id="3" w:name="Par57"/>
      <w:bookmarkEnd w:id="3"/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Двух с половиной процентов кадастровой стоимости земельного участка - в случаях продажи участков коммерческим организациям, являющимся собственниками расположенных на таких участках линий электропередачи, линий связи, трубопроводов, дорог, железнодорожных линий и других подобных сооружений (далее - линейные объекты), если линейные объекты были отчуждены из собственности Советского сельского поселения Калачевского муниципального района Волгоградской области, в том числе в случае, если на таких земельных участках возведены или реконструированы линейные объекты, либо если эти линейные объекты были возведены на таких земельных участках вместо разрушенных или снесенных и ранее отчужденных из муниципальной собственности Советского сельского поселения Калачевского муниципального района Волгоградской области линейных объектов, юридическим лицам, являющимся собственниками расположенных на таких земельных участках линейных объектов, а также в случаях продажи некоммерческим организациям, являющимся собственниками расположенных на таких земельных участках линейных объектов, если право собственности указанных лиц на эти линейные объекты возникло до вступления в силу Земельного </w:t>
      </w:r>
      <w:hyperlink r:id="rId10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кодекса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собственность.</w:t>
      </w:r>
    </w:p>
    <w:p>
      <w:pPr>
        <w:pStyle w:val="Normal"/>
        <w:widowControl w:val="false"/>
        <w:ind w:firstLine="540"/>
        <w:jc w:val="both"/>
        <w:rPr/>
      </w:pPr>
      <w:bookmarkStart w:id="4" w:name="Par58"/>
      <w:bookmarkEnd w:id="4"/>
      <w:r>
        <w:rPr>
          <w:rFonts w:cs="Times New Roman" w:ascii="Times New Roman" w:hAnsi="Times New Roman"/>
          <w:sz w:val="28"/>
          <w:szCs w:val="28"/>
        </w:rPr>
        <w:t xml:space="preserve">Десятикратного размера ставки земельного налога за единицу площади земельного участка - в случаях продажи участков собственникам линейных объектов, не указанным в </w:t>
      </w:r>
      <w:hyperlink w:anchor="Par5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втором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пункта.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При продаже застроенных земельных участков лица, указанные в </w:t>
      </w:r>
      <w:hyperlink w:anchor="Par57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втором пункта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приобретают участки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КС x 2,5%,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продажи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КС - кадастровая стоимость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2,5% - установленный размер процента кадастровой стоимости земельного участка.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При продаже застроенных земельных участков лица, указанные в </w:t>
      </w:r>
      <w:hyperlink w:anchor="Par58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абзаце третьем пункта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приобретают участки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УПКСЗ x РНС x S x 10,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продажи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УПКСЗ - удельный показатель кадастровой стоимости земли;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РНС - налоговая ставка земельного налога;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 - площадь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10 - установленная кратность ставки земельного налога.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При продаже земельных участков в случаях, указанных в </w:t>
      </w:r>
      <w:hyperlink r:id="rId11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пункте 2 статьи 39.3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Земельного кодекса Российской Федерации, за исключением случаев, указанных в </w:t>
      </w:r>
      <w:hyperlink w:anchor="Par5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пункте 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настоящего Порядка, земельные участки приобретаются по цене, рассчитываемой по формуле: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= КС x П,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 - цена земельного участка;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КС - кадастровая стоимость земельного участка;</w:t>
      </w:r>
    </w:p>
    <w:p>
      <w:pPr>
        <w:pStyle w:val="Normal"/>
        <w:widowControl w:val="false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 - процент от кадастровой стоимости земельного участка в размере, установленном согласно </w:t>
      </w:r>
      <w:hyperlink w:anchor="Par106">
        <w:r>
          <w:rPr>
            <w:rStyle w:val="ListLabel1"/>
            <w:rFonts w:cs="Times New Roman" w:ascii="Times New Roman" w:hAnsi="Times New Roman"/>
            <w:color w:val="0000FF"/>
            <w:sz w:val="28"/>
            <w:szCs w:val="28"/>
          </w:rPr>
          <w:t>приложению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Порядку.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Размер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области, определяется: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как 15% кадастровой стоимости земельного участка, находящегося в муниципальной собственности Советского сельского Калачевского муниципального района,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собственности;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подлежащей передаче в частную собственность в результате перераспределения земельных участков.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Расчет цены продажи земельных участков указывается в договоре купли-продажи земельного участка.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Расчет платы за увеличение площади земельных участков, находящихся в частной собственности, в результате их перераспределения с землями и (или) земельными участками, находящимися в муниципальной собственности Советского сельского поселения Калачевского муниципального района Волгоградской области, указывается в соглашении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соглашение).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Оплата земельного участка по договору купли-продажи или соглашению осуществляется покупателями единовременным платежом в течение 30 календарных дней с  момента заключения  договора купли-продажи или соглашения по указанным в них реквизитам.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В подтверждение внесения оплаты по договору купли-продажи земельного участка или соглашению покупатели в день оплаты представляют копию платежного документа с отметкой банка в администрацию Калачевского муниципального района Волгоградской области.</w:t>
      </w:r>
    </w:p>
    <w:p>
      <w:pPr>
        <w:pStyle w:val="Normal"/>
        <w:widowControl w:val="fals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За нарушение срока внесения оплаты покупателями земельного участка уплачиваются пени за каждый день просрочки в размере, установленном договором купли-продажи земельного участка или соглашением.</w:t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  <w:bookmarkStart w:id="5" w:name="Par98"/>
      <w:bookmarkEnd w:id="5"/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8220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Порядку определения,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утвержденному постановлением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Советского сельского поселения 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widowControl w:val="false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«24» августа 2020г. № 133</w:t>
      </w:r>
    </w:p>
    <w:p>
      <w:pPr>
        <w:pStyle w:val="Normal"/>
        <w:tabs>
          <w:tab w:val="clear" w:pos="708"/>
          <w:tab w:val="left" w:pos="661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6" w:name="Par106"/>
      <w:bookmarkEnd w:id="6"/>
      <w:r>
        <w:rPr>
          <w:rFonts w:cs="Times New Roman" w:ascii="Times New Roman" w:hAnsi="Times New Roman"/>
          <w:b/>
          <w:bCs/>
          <w:sz w:val="28"/>
          <w:szCs w:val="28"/>
        </w:rPr>
        <w:t>РАЗМЕРЫ ПРОЦЕНТОВ ОТ КАДАСТРОВОЙ СТОИМОСТИ ЗЕМЕЛЬНЫХ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УЧАСТКОВ, ПРИМЕНЯЕМЫЕ ДЛЯ РАСЧЕТА ЦЕНЫ ПРОДАЖИ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ЗЕМЕЛЬНЫХ УЧАСТКОВ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38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087"/>
        <w:gridCol w:w="1985"/>
      </w:tblGrid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Цель продажи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процента от кадастровой стоимости</w:t>
            </w:r>
          </w:p>
        </w:tc>
      </w:tr>
      <w:tr>
        <w:trPr>
          <w:trHeight w:val="366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образованные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      </w:r>
            <w:hyperlink r:id="rId12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Российской Федерации заключен договор о комплексном освоении территории, если иное не предусмотрено </w:t>
            </w:r>
            <w:hyperlink w:anchor="Par119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позициями 2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и </w:t>
            </w:r>
            <w:hyperlink w:anchor="Par12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4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19"/>
            <w:bookmarkEnd w:id="7"/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25"/>
            <w:bookmarkEnd w:id="8"/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образованные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 которых расположены здания, сооружения, включая объекты сельскохозяйственного производства, садоводства, огородничества, животноводства, дачного хозяйства, объектов инженерной инфраструктуры, жилищно-коммунального комплекса, собственникам таких зданий, сооружений либо помещений в них в случаях, предусмотренных </w:t>
            </w:r>
            <w:hyperlink r:id="rId13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ст. 39.20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 которых расположены объекты индивидуального жилищного фонда, собственникам таких объектов в случаях, предусмотренных </w:t>
            </w:r>
            <w:hyperlink r:id="rId14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ст. 39.20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участки, находящиеся в постоянном (бессрочном) пользовании юридических лиц, указанным юридическим лицам, за исключением лиц, указанных в </w:t>
            </w:r>
            <w:hyperlink r:id="rId15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пункте 2 статьи 39.9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 крестьянскому (фермерскому) хозяйству или сельскохозяйственной организации в случаях, установленных Федеральным </w:t>
            </w:r>
            <w:hyperlink r:id="rId16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"Об обороте земель сельскохозяйственного назначения"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Земельные участки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      </w:r>
            <w:hyperlink r:id="rId17">
              <w:r>
                <w:rPr>
                  <w:rStyle w:val="ListLabel1"/>
                  <w:rFonts w:cs="Times New Roman" w:ascii="Times New Roman" w:hAnsi="Times New Roman"/>
                  <w:color w:val="0000FF"/>
                  <w:sz w:val="28"/>
                  <w:szCs w:val="28"/>
                </w:rPr>
                <w:t>статьей 39.18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</w:t>
            </w:r>
          </w:p>
        </w:tc>
      </w:tr>
    </w:tbl>
    <w:p>
      <w:pPr>
        <w:pStyle w:val="Normal"/>
        <w:widowControl w:val="fals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6784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4">
    <w:name w:val="Heading 4"/>
    <w:basedOn w:val="Normal"/>
    <w:next w:val="Normal"/>
    <w:link w:val="40"/>
    <w:qFormat/>
    <w:rsid w:val="00f76784"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36"/>
      <w:szCs w:val="20"/>
    </w:rPr>
  </w:style>
  <w:style w:type="paragraph" w:styleId="7">
    <w:name w:val="Heading 7"/>
    <w:basedOn w:val="Normal"/>
    <w:next w:val="Normal"/>
    <w:link w:val="70"/>
    <w:qFormat/>
    <w:rsid w:val="00f76784"/>
    <w:p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basedOn w:val="DefaultParagraphFont"/>
    <w:link w:val="3"/>
    <w:qFormat/>
    <w:rsid w:val="00f7678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f76784"/>
    <w:rPr>
      <w:rFonts w:ascii="Times New Roman" w:hAnsi="Times New Roman" w:eastAsia="Times New Roman" w:cs="Times New Roman"/>
      <w:sz w:val="36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f7678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>
    <w:name w:val="Интернет-ссылка"/>
    <w:basedOn w:val="DefaultParagraphFont"/>
    <w:uiPriority w:val="99"/>
    <w:unhideWhenUsed/>
    <w:rsid w:val="00e52b05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link w:val="30"/>
    <w:unhideWhenUsed/>
    <w:qFormat/>
    <w:rsid w:val="00f76784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ABFD61E71149EB5E74AD18293D179CA1D75B1BE31F96A1AB5D4A7A357607C9574A9482A53C5t8M" TargetMode="External"/><Relationship Id="rId3" Type="http://schemas.openxmlformats.org/officeDocument/2006/relationships/hyperlink" Target="consultantplus://offline/ref=6ABFD61E71149EB5E74AD18293D179CA1D75B1BE31F96A1AB5D4A7A357607C9574A948275EC5tDM" TargetMode="External"/><Relationship Id="rId4" Type="http://schemas.openxmlformats.org/officeDocument/2006/relationships/hyperlink" Target="consultantplus://offline/ref=6ABFD61E71149EB5E74AD18293D179CA1D75B1BE3EF16A1AB5D4A7A357C6t0M" TargetMode="External"/><Relationship Id="rId5" Type="http://schemas.openxmlformats.org/officeDocument/2006/relationships/hyperlink" Target="http://www.&#1089;&#1086;&#1074;&#1077;&#1090;&#1089;&#1082;&#1086;&#1077;-&#1089;&#1087;.&#1088;&#1092;" TargetMode="External"/><Relationship Id="rId6" Type="http://schemas.openxmlformats.org/officeDocument/2006/relationships/hyperlink" Target="consultantplus://offline/ref=6ABFD61E71149EB5E74AD18293D179CA1D75B1BE31F96A1AB5D4A7A357607C9574A9482A53C5t8M" TargetMode="External"/><Relationship Id="rId7" Type="http://schemas.openxmlformats.org/officeDocument/2006/relationships/hyperlink" Target="consultantplus://offline/ref=6ABFD61E71149EB5E74AD18293D179CA1D75B1BE31F96A1AB5D4A7A357607C9574A948275EC5tDM" TargetMode="External"/><Relationship Id="rId8" Type="http://schemas.openxmlformats.org/officeDocument/2006/relationships/hyperlink" Target="consultantplus://offline/ref=6ABFD61E71149EB5E74AD18293D179CA1D75B1BE31F96A1AB5D4A7A357C6t0M" TargetMode="External"/><Relationship Id="rId9" Type="http://schemas.openxmlformats.org/officeDocument/2006/relationships/hyperlink" Target="consultantplus://offline/ref=6ABFD61E71149EB5E74AD18293D179CA1D75B1BE3EF16A1AB5D4A7A357C6t0M" TargetMode="External"/><Relationship Id="rId10" Type="http://schemas.openxmlformats.org/officeDocument/2006/relationships/hyperlink" Target="consultantplus://offline/ref=6ABFD61E71149EB5E74AD18293D179CA1D75B1BE31F96A1AB5D4A7A357C6t0M" TargetMode="External"/><Relationship Id="rId11" Type="http://schemas.openxmlformats.org/officeDocument/2006/relationships/hyperlink" Target="consultantplus://offline/ref=6ABFD61E71149EB5E74AD18293D179CA1D75B1BE31F96A1AB5D4A7A357607C9574A9482A55C5tFM" TargetMode="External"/><Relationship Id="rId12" Type="http://schemas.openxmlformats.org/officeDocument/2006/relationships/hyperlink" Target="consultantplus://offline/ref=6ABFD61E71149EB5E74AD18293D179CA1D75B1B33EF46A1AB5D4A7A357C6t0M" TargetMode="External"/><Relationship Id="rId13" Type="http://schemas.openxmlformats.org/officeDocument/2006/relationships/hyperlink" Target="consultantplus://offline/ref=6ABFD61E71149EB5E74AD18293D179CA1D75B1BE31F96A1AB5D4A7A357607C9574A948265EC5tEM" TargetMode="External"/><Relationship Id="rId14" Type="http://schemas.openxmlformats.org/officeDocument/2006/relationships/hyperlink" Target="consultantplus://offline/ref=6ABFD61E71149EB5E74AD18293D179CA1D75B1BE31F96A1AB5D4A7A357607C9574A948265EC5tEM" TargetMode="External"/><Relationship Id="rId15" Type="http://schemas.openxmlformats.org/officeDocument/2006/relationships/hyperlink" Target="consultantplus://offline/ref=6ABFD61E71149EB5E74AD18293D179CA1D75B1BE31F96A1AB5D4A7A357607C9574A9482B50C5t9M" TargetMode="External"/><Relationship Id="rId16" Type="http://schemas.openxmlformats.org/officeDocument/2006/relationships/hyperlink" Target="consultantplus://offline/ref=6ABFD61E71149EB5E74AD18293D179CA1D75B1BD36F26A1AB5D4A7A357C6t0M" TargetMode="External"/><Relationship Id="rId17" Type="http://schemas.openxmlformats.org/officeDocument/2006/relationships/hyperlink" Target="consultantplus://offline/ref=6ABFD61E71149EB5E74AD18293D179CA1D75B1BE31F96A1AB5D4A7A357607C9574A9482653C5t2M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 LibreOffice_project/2412653d852ce75f65fbfa83fb7e7b669a126d64</Application>
  <Pages>11</Pages>
  <Words>1711</Words>
  <Characters>12847</Characters>
  <CharactersWithSpaces>14589</CharactersWithSpaces>
  <Paragraphs>111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2020-08-25T10:21:00Z</dcterms:created>
  <dc:creator>user</dc:creator>
  <dc:description/>
  <dc:language>ru-RU</dc:language>
  <cp:lastModifiedBy/>
  <dcterms:modified xsi:type="dcterms:W3CDTF">2020-08-25T14:27:50Z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